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79" w:rsidRPr="008F6779" w:rsidRDefault="008F6779" w:rsidP="008F6779">
      <w:pPr>
        <w:spacing w:line="240" w:lineRule="auto"/>
        <w:rPr>
          <w:rFonts w:ascii="Arial" w:eastAsia="Times New Roman" w:hAnsi="Arial" w:cs="Arial"/>
          <w:b/>
          <w:bCs/>
          <w:color w:val="0070C0"/>
          <w:sz w:val="31"/>
          <w:szCs w:val="31"/>
          <w:lang w:eastAsia="ru-RU"/>
        </w:rPr>
      </w:pPr>
      <w:bookmarkStart w:id="0" w:name="_GoBack"/>
      <w:r w:rsidRPr="008F6779">
        <w:rPr>
          <w:rFonts w:ascii="Arial" w:eastAsia="Times New Roman" w:hAnsi="Arial" w:cs="Arial"/>
          <w:b/>
          <w:bCs/>
          <w:color w:val="0070C0"/>
          <w:sz w:val="31"/>
          <w:szCs w:val="31"/>
          <w:lang w:eastAsia="ru-RU"/>
        </w:rPr>
        <w:t>4.14 О ВЕТЕРАНАХ ТРУДА ИРКУТСКОЙ ОБЛАСТИ</w:t>
      </w:r>
    </w:p>
    <w:tbl>
      <w:tblPr>
        <w:tblW w:w="5000" w:type="pct"/>
        <w:tblCellSpacing w:w="0" w:type="dxa"/>
        <w:tblBorders>
          <w:bottom w:val="dotted" w:sz="6" w:space="0" w:color="BBBBBB"/>
        </w:tblBorders>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8F6779" w:rsidRPr="008F6779" w:rsidTr="008F6779">
        <w:trPr>
          <w:tblCellSpacing w:w="0" w:type="dxa"/>
        </w:trPr>
        <w:tc>
          <w:tcPr>
            <w:tcW w:w="0" w:type="auto"/>
            <w:shd w:val="clear" w:color="auto" w:fill="FFFFFF"/>
            <w:vAlign w:val="center"/>
            <w:hideMark/>
          </w:tcPr>
          <w:bookmarkEnd w:id="0"/>
          <w:p w:rsidR="008F6779" w:rsidRPr="008F6779" w:rsidRDefault="008F6779" w:rsidP="008F6779">
            <w:pPr>
              <w:spacing w:before="180" w:after="180" w:line="240" w:lineRule="auto"/>
              <w:jc w:val="center"/>
              <w:rPr>
                <w:rFonts w:ascii="Arial" w:eastAsia="Times New Roman" w:hAnsi="Arial" w:cs="Arial"/>
                <w:color w:val="4B4B4B"/>
                <w:sz w:val="21"/>
                <w:szCs w:val="21"/>
                <w:lang w:eastAsia="ru-RU"/>
              </w:rPr>
            </w:pPr>
            <w:r w:rsidRPr="008F6779">
              <w:rPr>
                <w:rFonts w:ascii="Arial" w:eastAsia="Times New Roman" w:hAnsi="Arial" w:cs="Arial"/>
                <w:b/>
                <w:bCs/>
                <w:color w:val="4A442A"/>
                <w:lang w:eastAsia="ru-RU"/>
              </w:rPr>
              <w:t>ЗАКОН ИРКУТСКОЙ ОБЛАСТИ</w:t>
            </w:r>
          </w:p>
          <w:p w:rsidR="008F6779" w:rsidRPr="008F6779" w:rsidRDefault="008F6779" w:rsidP="008F6779">
            <w:pPr>
              <w:spacing w:before="180" w:after="180" w:line="240" w:lineRule="auto"/>
              <w:jc w:val="center"/>
              <w:rPr>
                <w:rFonts w:ascii="Arial" w:eastAsia="Times New Roman" w:hAnsi="Arial" w:cs="Arial"/>
                <w:color w:val="4B4B4B"/>
                <w:sz w:val="21"/>
                <w:szCs w:val="21"/>
                <w:lang w:eastAsia="ru-RU"/>
              </w:rPr>
            </w:pPr>
            <w:r w:rsidRPr="008F6779">
              <w:rPr>
                <w:rFonts w:ascii="Arial" w:eastAsia="Times New Roman" w:hAnsi="Arial" w:cs="Arial"/>
                <w:b/>
                <w:bCs/>
                <w:color w:val="4A442A"/>
                <w:lang w:eastAsia="ru-RU"/>
              </w:rPr>
              <w:t>от 13.07.2018 N 72-ОЗ «О ВЕТЕРАНАХ ТРУДА ИРКУТСКОЙ ОБЛАСТИ»</w:t>
            </w:r>
          </w:p>
          <w:tbl>
            <w:tblPr>
              <w:tblpPr w:rightFromText="45" w:vertAnchor="text" w:tblpXSpec="right" w:tblpYSpec="center"/>
              <w:tblW w:w="9106" w:type="dxa"/>
              <w:tblCellSpacing w:w="15" w:type="dxa"/>
              <w:tblBorders>
                <w:top w:val="single" w:sz="24" w:space="0" w:color="632423"/>
                <w:left w:val="single" w:sz="24" w:space="0" w:color="632423"/>
                <w:bottom w:val="single" w:sz="24" w:space="0" w:color="632423"/>
                <w:right w:val="single" w:sz="24" w:space="0" w:color="632423"/>
              </w:tblBorders>
              <w:shd w:val="clear" w:color="auto" w:fill="FFFFFF"/>
              <w:tblCellMar>
                <w:top w:w="15" w:type="dxa"/>
                <w:left w:w="15" w:type="dxa"/>
                <w:bottom w:w="15" w:type="dxa"/>
                <w:right w:w="15" w:type="dxa"/>
              </w:tblCellMar>
              <w:tblLook w:val="04A0" w:firstRow="1" w:lastRow="0" w:firstColumn="1" w:lastColumn="0" w:noHBand="0" w:noVBand="1"/>
            </w:tblPr>
            <w:tblGrid>
              <w:gridCol w:w="4386"/>
              <w:gridCol w:w="4720"/>
            </w:tblGrid>
            <w:tr w:rsidR="008F6779" w:rsidRPr="008F6779" w:rsidTr="008F6779">
              <w:trPr>
                <w:trHeight w:val="1069"/>
                <w:tblCellSpacing w:w="15" w:type="dxa"/>
              </w:trPr>
              <w:tc>
                <w:tcPr>
                  <w:tcW w:w="2760"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sz w:val="24"/>
                      <w:szCs w:val="24"/>
                      <w:lang w:eastAsia="ru-RU"/>
                    </w:rPr>
                    <w:t> </w:t>
                  </w:r>
                </w:p>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1. Категории граждан</w:t>
                  </w:r>
                </w:p>
              </w:tc>
              <w:tc>
                <w:tcPr>
                  <w:tcW w:w="6256"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Ветераны труда Иркутской области.</w:t>
                  </w:r>
                  <w:r w:rsidRPr="008F6779">
                    <w:rPr>
                      <w:rFonts w:ascii="Times New Roman" w:eastAsia="Times New Roman" w:hAnsi="Times New Roman" w:cs="Times New Roman"/>
                      <w:sz w:val="24"/>
                      <w:szCs w:val="24"/>
                      <w:shd w:val="clear" w:color="auto" w:fill="EEECE1"/>
                      <w:lang w:eastAsia="ru-RU"/>
                    </w:rPr>
                    <w:t> </w:t>
                  </w:r>
                </w:p>
              </w:tc>
            </w:tr>
            <w:tr w:rsidR="008F6779" w:rsidRPr="008F6779" w:rsidTr="008F6779">
              <w:trPr>
                <w:trHeight w:val="11330"/>
                <w:tblCellSpacing w:w="15" w:type="dxa"/>
              </w:trPr>
              <w:tc>
                <w:tcPr>
                  <w:tcW w:w="2760"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2. Меры социальной поддержки</w:t>
                  </w:r>
                </w:p>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sz w:val="24"/>
                      <w:szCs w:val="24"/>
                      <w:shd w:val="clear" w:color="auto" w:fill="EEECE1"/>
                      <w:lang w:eastAsia="ru-RU"/>
                    </w:rPr>
                    <w:t> </w:t>
                  </w:r>
                </w:p>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sz w:val="24"/>
                      <w:szCs w:val="24"/>
                      <w:shd w:val="clear" w:color="auto" w:fill="EEECE1"/>
                      <w:lang w:eastAsia="ru-RU"/>
                    </w:rPr>
                    <w:t> </w:t>
                  </w:r>
                </w:p>
              </w:tc>
              <w:tc>
                <w:tcPr>
                  <w:tcW w:w="6256"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Ежемесячная денежная выплата в размере </w:t>
                  </w:r>
                  <w:r w:rsidRPr="008F6779">
                    <w:rPr>
                      <w:rFonts w:ascii="Times New Roman" w:eastAsia="Times New Roman" w:hAnsi="Times New Roman" w:cs="Times New Roman"/>
                      <w:b/>
                      <w:bCs/>
                      <w:color w:val="000000"/>
                      <w:shd w:val="clear" w:color="auto" w:fill="EEECE1"/>
                      <w:lang w:eastAsia="ru-RU"/>
                    </w:rPr>
                    <w:t>633,58 руб.</w:t>
                  </w:r>
                  <w:r w:rsidRPr="008F6779">
                    <w:rPr>
                      <w:rFonts w:ascii="Times New Roman" w:eastAsia="Times New Roman" w:hAnsi="Times New Roman" w:cs="Times New Roman"/>
                      <w:color w:val="000000"/>
                      <w:shd w:val="clear" w:color="auto" w:fill="EEECE1"/>
                      <w:lang w:eastAsia="ru-RU"/>
                    </w:rPr>
                    <w:t> и иные меры социальной поддержки:</w:t>
                  </w:r>
                </w:p>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оказание медицинской помощи в рамках программы государственных гарантий бесплатного оказания гражданам медицинской помощи;</w:t>
                  </w:r>
                </w:p>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2) денежная компенсация </w:t>
                  </w:r>
                  <w:r w:rsidRPr="008F6779">
                    <w:rPr>
                      <w:rFonts w:ascii="Times New Roman" w:eastAsia="Times New Roman" w:hAnsi="Times New Roman" w:cs="Times New Roman"/>
                      <w:b/>
                      <w:bCs/>
                      <w:color w:val="000000"/>
                      <w:shd w:val="clear" w:color="auto" w:fill="EEECE1"/>
                      <w:lang w:eastAsia="ru-RU"/>
                    </w:rPr>
                    <w:t>50 %</w:t>
                  </w:r>
                  <w:r w:rsidRPr="008F6779">
                    <w:rPr>
                      <w:rFonts w:ascii="Times New Roman" w:eastAsia="Times New Roman" w:hAnsi="Times New Roman" w:cs="Times New Roman"/>
                      <w:color w:val="000000"/>
                      <w:shd w:val="clear" w:color="auto" w:fill="EEECE1"/>
                      <w:lang w:eastAsia="ru-RU"/>
                    </w:rPr>
                    <w:t> расходов на оплату жилого помещения в части 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а для собственников жилого помещения в многоквартирном доме - также в части взноса на капитальный ремонт, в том числе нетрудоспособным членам семьи, совместно с ними проживающим, находящимся на их полном содержании или получающим от них помощь, которая является для них постоянным и основным источником средств к существованию;</w:t>
                  </w:r>
                </w:p>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3) денежная компенсация </w:t>
                  </w:r>
                  <w:r w:rsidRPr="008F6779">
                    <w:rPr>
                      <w:rFonts w:ascii="Times New Roman" w:eastAsia="Times New Roman" w:hAnsi="Times New Roman" w:cs="Times New Roman"/>
                      <w:b/>
                      <w:bCs/>
                      <w:color w:val="000000"/>
                      <w:shd w:val="clear" w:color="auto" w:fill="EEECE1"/>
                      <w:lang w:eastAsia="ru-RU"/>
                    </w:rPr>
                    <w:t>50 %</w:t>
                  </w:r>
                  <w:r w:rsidRPr="008F6779">
                    <w:rPr>
                      <w:rFonts w:ascii="Times New Roman" w:eastAsia="Times New Roman" w:hAnsi="Times New Roman" w:cs="Times New Roman"/>
                      <w:color w:val="000000"/>
                      <w:shd w:val="clear" w:color="auto" w:fill="EEECE1"/>
                      <w:lang w:eastAsia="ru-RU"/>
                    </w:rPr>
                    <w:t xml:space="preserve"> расходов на оплату коммунальных услуг (плата за холодную воду, горячую воду, электрическую энергию, тепловую энергию, газ, бытовой газ в баллонах, </w:t>
                  </w:r>
                  <w:proofErr w:type="spellStart"/>
                  <w:r w:rsidRPr="008F6779">
                    <w:rPr>
                      <w:rFonts w:ascii="Times New Roman" w:eastAsia="Times New Roman" w:hAnsi="Times New Roman" w:cs="Times New Roman"/>
                      <w:color w:val="000000"/>
                      <w:shd w:val="clear" w:color="auto" w:fill="EEECE1"/>
                      <w:lang w:eastAsia="ru-RU"/>
                    </w:rPr>
                    <w:t>твердое</w:t>
                  </w:r>
                  <w:proofErr w:type="spellEnd"/>
                  <w:r w:rsidRPr="008F6779">
                    <w:rPr>
                      <w:rFonts w:ascii="Times New Roman" w:eastAsia="Times New Roman" w:hAnsi="Times New Roman" w:cs="Times New Roman"/>
                      <w:color w:val="000000"/>
                      <w:shd w:val="clear" w:color="auto" w:fill="EEECE1"/>
                      <w:lang w:eastAsia="ru-RU"/>
                    </w:rPr>
                    <w:t xml:space="preserve"> топливо, включая его доставку, при наличии печного отопления, </w:t>
                  </w:r>
                  <w:r w:rsidRPr="008F6779">
                    <w:rPr>
                      <w:rFonts w:ascii="Times New Roman" w:eastAsia="Times New Roman" w:hAnsi="Times New Roman" w:cs="Times New Roman"/>
                      <w:color w:val="000000"/>
                      <w:shd w:val="clear" w:color="auto" w:fill="EEECE1"/>
                      <w:lang w:eastAsia="ru-RU"/>
                    </w:rPr>
                    <w:lastRenderedPageBreak/>
                    <w:t xml:space="preserve">плата за отведение сточных вод, обращение с </w:t>
                  </w:r>
                  <w:proofErr w:type="spellStart"/>
                  <w:r w:rsidRPr="008F6779">
                    <w:rPr>
                      <w:rFonts w:ascii="Times New Roman" w:eastAsia="Times New Roman" w:hAnsi="Times New Roman" w:cs="Times New Roman"/>
                      <w:color w:val="000000"/>
                      <w:shd w:val="clear" w:color="auto" w:fill="EEECE1"/>
                      <w:lang w:eastAsia="ru-RU"/>
                    </w:rPr>
                    <w:t>твердыми</w:t>
                  </w:r>
                  <w:proofErr w:type="spellEnd"/>
                  <w:r w:rsidRPr="008F6779">
                    <w:rPr>
                      <w:rFonts w:ascii="Times New Roman" w:eastAsia="Times New Roman" w:hAnsi="Times New Roman" w:cs="Times New Roman"/>
                      <w:color w:val="000000"/>
                      <w:shd w:val="clear" w:color="auto" w:fill="EEECE1"/>
                      <w:lang w:eastAsia="ru-RU"/>
                    </w:rPr>
                    <w:t xml:space="preserve"> коммунальными отходами). Обеспечение топливом производится в первоочередном порядке;</w:t>
                  </w:r>
                </w:p>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4) бесплатное изготовление и ремонт зубных протезов (кроме расходов на оплату стоимости драгоценных металлов и металлокерамики) в медицинских организациях по месту жительства;</w:t>
                  </w:r>
                </w:p>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5) бесплатный проезд на автомобильном транспорте (кроме такси) межмуниципальных маршрутов регулярных перевозок в междугородном сообщении и муниципальных маршрутов регулярных перевозок в междугородном сообщении;</w:t>
                  </w:r>
                </w:p>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6) оплата в размере </w:t>
                  </w:r>
                  <w:r w:rsidRPr="008F6779">
                    <w:rPr>
                      <w:rFonts w:ascii="Times New Roman" w:eastAsia="Times New Roman" w:hAnsi="Times New Roman" w:cs="Times New Roman"/>
                      <w:b/>
                      <w:bCs/>
                      <w:color w:val="000000"/>
                      <w:shd w:val="clear" w:color="auto" w:fill="EEECE1"/>
                      <w:lang w:eastAsia="ru-RU"/>
                    </w:rPr>
                    <w:t>50 %</w:t>
                  </w:r>
                  <w:r w:rsidRPr="008F6779">
                    <w:rPr>
                      <w:rFonts w:ascii="Times New Roman" w:eastAsia="Times New Roman" w:hAnsi="Times New Roman" w:cs="Times New Roman"/>
                      <w:sz w:val="24"/>
                      <w:szCs w:val="24"/>
                      <w:shd w:val="clear" w:color="auto" w:fill="EEECE1"/>
                      <w:lang w:eastAsia="ru-RU"/>
                    </w:rPr>
                    <w:t> </w:t>
                  </w:r>
                  <w:r w:rsidRPr="008F6779">
                    <w:rPr>
                      <w:rFonts w:ascii="Times New Roman" w:eastAsia="Times New Roman" w:hAnsi="Times New Roman" w:cs="Times New Roman"/>
                      <w:color w:val="000000"/>
                      <w:shd w:val="clear" w:color="auto" w:fill="EEECE1"/>
                      <w:lang w:eastAsia="ru-RU"/>
                    </w:rPr>
                    <w:t>стоимости проезда на железнодорожном транспорте в пригородном сообщении и внутреннем водном транспорте по пригородным маршрутам.</w:t>
                  </w:r>
                </w:p>
              </w:tc>
            </w:tr>
            <w:tr w:rsidR="008F6779" w:rsidRPr="008F6779" w:rsidTr="008F6779">
              <w:trPr>
                <w:trHeight w:val="144"/>
                <w:tblCellSpacing w:w="15" w:type="dxa"/>
              </w:trPr>
              <w:tc>
                <w:tcPr>
                  <w:tcW w:w="2760"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lastRenderedPageBreak/>
                    <w:t>3. Куда обращаться</w:t>
                  </w:r>
                </w:p>
              </w:tc>
              <w:tc>
                <w:tcPr>
                  <w:tcW w:w="6256" w:type="dxa"/>
                  <w:tcBorders>
                    <w:top w:val="single" w:sz="24" w:space="0" w:color="632423"/>
                    <w:left w:val="single" w:sz="24" w:space="0" w:color="632423"/>
                    <w:bottom w:val="single" w:sz="24" w:space="0" w:color="632423"/>
                    <w:right w:val="single" w:sz="24" w:space="0" w:color="632423"/>
                  </w:tcBorders>
                  <w:shd w:val="clear" w:color="auto" w:fill="FDE9D9"/>
                  <w:tcMar>
                    <w:top w:w="0" w:type="dxa"/>
                    <w:left w:w="105" w:type="dxa"/>
                    <w:bottom w:w="0" w:type="dxa"/>
                    <w:right w:w="105" w:type="dxa"/>
                  </w:tcMar>
                  <w:vAlign w:val="center"/>
                  <w:hideMark/>
                </w:tcPr>
                <w:p w:rsidR="008F6779" w:rsidRPr="008F6779" w:rsidRDefault="008F6779" w:rsidP="008F6779">
                  <w:pPr>
                    <w:spacing w:before="180" w:after="180" w:line="240" w:lineRule="auto"/>
                    <w:ind w:firstLine="612"/>
                    <w:jc w:val="both"/>
                    <w:rPr>
                      <w:rFonts w:ascii="Times New Roman" w:eastAsia="Times New Roman" w:hAnsi="Times New Roman" w:cs="Times New Roman"/>
                      <w:color w:val="000000"/>
                      <w:shd w:val="clear" w:color="auto" w:fill="EEECE1"/>
                      <w:lang w:eastAsia="ru-RU"/>
                    </w:rPr>
                  </w:pPr>
                  <w:r w:rsidRPr="008F6779">
                    <w:rPr>
                      <w:rFonts w:ascii="Times New Roman" w:eastAsia="Times New Roman" w:hAnsi="Times New Roman" w:cs="Times New Roman"/>
                      <w:color w:val="000000"/>
                      <w:shd w:val="clear" w:color="auto" w:fill="EEECE1"/>
                      <w:lang w:eastAsia="ru-RU"/>
                    </w:rPr>
                    <w:t>ОГБУ "УСЗСОН по Боханскому району"</w:t>
                  </w:r>
                </w:p>
                <w:p w:rsidR="008F6779" w:rsidRPr="008F6779" w:rsidRDefault="008F6779" w:rsidP="008F6779">
                  <w:pPr>
                    <w:spacing w:before="180" w:after="180" w:line="240" w:lineRule="auto"/>
                    <w:ind w:firstLine="612"/>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669311, Иркутская область, Боханский район, п. Бохан, ул. Ленина, 27</w:t>
                  </w:r>
                </w:p>
              </w:tc>
            </w:tr>
            <w:tr w:rsidR="008F6779" w:rsidRPr="008F6779" w:rsidTr="008F6779">
              <w:trPr>
                <w:trHeight w:val="144"/>
                <w:tblCellSpacing w:w="15" w:type="dxa"/>
              </w:trPr>
              <w:tc>
                <w:tcPr>
                  <w:tcW w:w="2760"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4. Документы, предоставляемые заявителем</w:t>
                  </w:r>
                </w:p>
              </w:tc>
              <w:tc>
                <w:tcPr>
                  <w:tcW w:w="6256" w:type="dxa"/>
                  <w:tcBorders>
                    <w:top w:val="single" w:sz="24" w:space="0" w:color="632423"/>
                    <w:left w:val="single" w:sz="24" w:space="0" w:color="632423"/>
                    <w:bottom w:val="single" w:sz="24" w:space="0" w:color="632423"/>
                    <w:right w:val="single" w:sz="24" w:space="0" w:color="632423"/>
                  </w:tcBorders>
                  <w:shd w:val="clear" w:color="auto" w:fill="FDE9D9"/>
                  <w:tcMar>
                    <w:top w:w="0" w:type="dxa"/>
                    <w:left w:w="105" w:type="dxa"/>
                    <w:bottom w:w="0" w:type="dxa"/>
                    <w:right w:w="105" w:type="dxa"/>
                  </w:tcMar>
                  <w:vAlign w:val="center"/>
                  <w:hideMark/>
                </w:tcPr>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К заявлению прилагаются следующие документы:</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lastRenderedPageBreak/>
                    <w:t>1) паспорт или иной документ, удостоверяющий личность ветерана труда Иркутской области;</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2) документы, удостоверяющие личность и подтверждающие полномочия представителя ветерана труда Иркутской области, - в случае обращения с заявлением представителя ветерана труда Иркутской области;</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3) удостоверение "Ветеран труда Иркутской области", выданное в соответствии с настоящим Законом;</w:t>
                  </w:r>
                </w:p>
                <w:p w:rsidR="008F6779" w:rsidRPr="008F6779" w:rsidRDefault="008F6779" w:rsidP="008F6779">
                  <w:pPr>
                    <w:spacing w:before="180" w:after="180" w:line="240" w:lineRule="auto"/>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lang w:eastAsia="ru-RU"/>
                    </w:rPr>
                    <w:t>4) документы, подтверждающие регистрацию по месту жительства на территории Иркутской области ветерана труда Иркутской области и членов его семьи (паспорт с отметкой о регистрации по месту жительства на территории Иркутской области, свидетельство о регистрации по месту жительства (пребывания), и (или) решение суда об установлении факта совместного проживания ветерана труда Иркутской области и указанных им в заявлении членов его семьи на территории Иркутской;</w:t>
                  </w:r>
                </w:p>
                <w:p w:rsidR="008F6779" w:rsidRPr="008F6779" w:rsidRDefault="008F6779" w:rsidP="008F6779">
                  <w:pPr>
                    <w:spacing w:before="180" w:after="180" w:line="240" w:lineRule="auto"/>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lang w:eastAsia="ru-RU"/>
                    </w:rPr>
                    <w:t xml:space="preserve">6) документ, содержащий информацию о размере занимаемой общей площади жилого </w:t>
                  </w:r>
                  <w:proofErr w:type="gramStart"/>
                  <w:r w:rsidRPr="008F6779">
                    <w:rPr>
                      <w:rFonts w:ascii="Times New Roman" w:eastAsia="Times New Roman" w:hAnsi="Times New Roman" w:cs="Times New Roman"/>
                      <w:color w:val="000000"/>
                      <w:lang w:eastAsia="ru-RU"/>
                    </w:rPr>
                    <w:t>помещения  (</w:t>
                  </w:r>
                  <w:proofErr w:type="gramEnd"/>
                  <w:r w:rsidRPr="008F6779">
                    <w:rPr>
                      <w:rFonts w:ascii="Times New Roman" w:eastAsia="Times New Roman" w:hAnsi="Times New Roman" w:cs="Times New Roman"/>
                      <w:color w:val="000000"/>
                      <w:lang w:eastAsia="ru-RU"/>
                    </w:rPr>
                    <w:t>если право собственности зарегистрировано в Едином государственном реестре недвижимости –ЕГРН) (выписка из ЕГРН об объекте недвижимости, выписка из ЕГРН об основных характеристиках и зарегистрированных правах  на объект недвижимости </w:t>
                  </w:r>
                  <w:r w:rsidRPr="008F6779">
                    <w:rPr>
                      <w:rFonts w:ascii="Times New Roman" w:eastAsia="Times New Roman" w:hAnsi="Times New Roman" w:cs="Times New Roman"/>
                      <w:i/>
                      <w:iCs/>
                      <w:color w:val="000000"/>
                      <w:lang w:eastAsia="ru-RU"/>
                    </w:rPr>
                    <w:t>(вправе предоставить)</w:t>
                  </w:r>
                  <w:r w:rsidRPr="008F6779">
                    <w:rPr>
                      <w:rFonts w:ascii="Times New Roman" w:eastAsia="Times New Roman" w:hAnsi="Times New Roman" w:cs="Times New Roman"/>
                      <w:color w:val="000000"/>
                      <w:lang w:eastAsia="ru-RU"/>
                    </w:rPr>
                    <w:t>;</w:t>
                  </w:r>
                </w:p>
                <w:p w:rsidR="008F6779" w:rsidRPr="008F6779" w:rsidRDefault="008F6779" w:rsidP="008F6779">
                  <w:pPr>
                    <w:spacing w:before="180" w:after="180" w:line="240" w:lineRule="auto"/>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lang w:eastAsia="ru-RU"/>
                    </w:rPr>
                    <w:t xml:space="preserve">7) документ, содержащий информацию о наличии печного отопления (справка, выданная бюро технической инвентаризации) - в случае обращения ветерана труда Иркутской области или его представителя за предоставлением меры социальной поддержки в части денежной компенсации расходов на приобретение </w:t>
                  </w:r>
                  <w:proofErr w:type="spellStart"/>
                  <w:r w:rsidRPr="008F6779">
                    <w:rPr>
                      <w:rFonts w:ascii="Times New Roman" w:eastAsia="Times New Roman" w:hAnsi="Times New Roman" w:cs="Times New Roman"/>
                      <w:color w:val="000000"/>
                      <w:lang w:eastAsia="ru-RU"/>
                    </w:rPr>
                    <w:t>твердого</w:t>
                  </w:r>
                  <w:proofErr w:type="spellEnd"/>
                  <w:r w:rsidRPr="008F6779">
                    <w:rPr>
                      <w:rFonts w:ascii="Times New Roman" w:eastAsia="Times New Roman" w:hAnsi="Times New Roman" w:cs="Times New Roman"/>
                      <w:color w:val="000000"/>
                      <w:lang w:eastAsia="ru-RU"/>
                    </w:rPr>
                    <w:t xml:space="preserve"> топлива, включая его доставку.</w:t>
                  </w:r>
                </w:p>
              </w:tc>
            </w:tr>
            <w:tr w:rsidR="008F6779" w:rsidRPr="008F6779" w:rsidTr="008F6779">
              <w:trPr>
                <w:trHeight w:val="10848"/>
                <w:tblCellSpacing w:w="15" w:type="dxa"/>
              </w:trPr>
              <w:tc>
                <w:tcPr>
                  <w:tcW w:w="2760"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lastRenderedPageBreak/>
                    <w:t>5. Условия</w:t>
                  </w:r>
                </w:p>
              </w:tc>
              <w:tc>
                <w:tcPr>
                  <w:tcW w:w="6256" w:type="dxa"/>
                  <w:tcBorders>
                    <w:top w:val="single" w:sz="24" w:space="0" w:color="632423"/>
                    <w:left w:val="single" w:sz="24" w:space="0" w:color="632423"/>
                    <w:bottom w:val="single" w:sz="24" w:space="0" w:color="632423"/>
                    <w:right w:val="single" w:sz="24" w:space="0" w:color="632423"/>
                  </w:tcBorders>
                  <w:shd w:val="clear" w:color="auto" w:fill="FDE9D9"/>
                  <w:tcMar>
                    <w:top w:w="0" w:type="dxa"/>
                    <w:left w:w="105" w:type="dxa"/>
                    <w:bottom w:w="0" w:type="dxa"/>
                    <w:right w:w="105" w:type="dxa"/>
                  </w:tcMar>
                  <w:vAlign w:val="center"/>
                  <w:hideMark/>
                </w:tcPr>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Меры социальной поддержки предоставляются ветеранам труда Иркутской области:</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1) после установления (назначения) им трудовой (страховой) пенсии по старости либо пенсии за выслугу лет, но не ранее достижения ими возраста, дающего право на страховую пенсию по старости;</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2) независимо от прекращения ими трудовой деятельности.</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3) независимо от факта назначения (получения) страховой пенсии следующим категориям граждан:</w:t>
                  </w:r>
                </w:p>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достигшим возраста 60 лет - для мужчин, 55 лет - для женщин;</w:t>
                  </w:r>
                </w:p>
                <w:p w:rsidR="008F6779" w:rsidRPr="008F6779" w:rsidRDefault="008F6779" w:rsidP="008F6779">
                  <w:pPr>
                    <w:spacing w:before="180" w:after="180" w:line="240" w:lineRule="auto"/>
                    <w:ind w:firstLine="540"/>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имеющим право на досрочное назначение страховой пенсии в соответствии с законодательством по состоянию на 31 декабря 2018 года.</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shd w:val="clear" w:color="auto" w:fill="EEECE1"/>
                      <w:lang w:eastAsia="ru-RU"/>
                    </w:rPr>
                    <w:t>Если ветеран труда Иркутской области одновременно имеет право на одни и те же меры социальной поддержки по настоящему Закону и по другому правовому акту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меры социальной поддержки предоставляются по выбору ветерана труда Иркутской области либо по настоящему Закону, либо по другому правовому акту.</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b/>
                      <w:bCs/>
                      <w:color w:val="000000"/>
                      <w:shd w:val="clear" w:color="auto" w:fill="EEECE1"/>
                      <w:lang w:eastAsia="ru-RU"/>
                    </w:rPr>
                    <w:t>В случае переезда ветерана труда Иркутской области на постоянное место жительства за пределы Иркутской области за ним сохраняется право на предоставление ежемесячной денежной выплаты.</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b/>
                      <w:bCs/>
                      <w:color w:val="000000"/>
                      <w:shd w:val="clear" w:color="auto" w:fill="EEECE1"/>
                      <w:lang w:eastAsia="ru-RU"/>
                    </w:rPr>
                    <w:t xml:space="preserve">В этом случае в УСЗН по месту получения ЕДВ в Иркутской области ежегодно направляется заявление о подтверждении права на дальнейшее получение ежемесячной денежной </w:t>
                  </w:r>
                  <w:r w:rsidRPr="008F6779">
                    <w:rPr>
                      <w:rFonts w:ascii="Times New Roman" w:eastAsia="Times New Roman" w:hAnsi="Times New Roman" w:cs="Times New Roman"/>
                      <w:b/>
                      <w:bCs/>
                      <w:color w:val="000000"/>
                      <w:shd w:val="clear" w:color="auto" w:fill="EEECE1"/>
                      <w:lang w:eastAsia="ru-RU"/>
                    </w:rPr>
                    <w:lastRenderedPageBreak/>
                    <w:t>выплаты, в котором сообщается о неполучении ежемесячной денежной выплаты в соответствии с другим нормативным правовым актом.</w:t>
                  </w:r>
                </w:p>
                <w:p w:rsidR="008F6779" w:rsidRPr="008F6779" w:rsidRDefault="008F6779" w:rsidP="008F6779">
                  <w:pPr>
                    <w:spacing w:before="180" w:after="180" w:line="240" w:lineRule="auto"/>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b/>
                      <w:bCs/>
                      <w:color w:val="000000"/>
                      <w:lang w:eastAsia="ru-RU"/>
                    </w:rPr>
                    <w:t xml:space="preserve">    Заявление о подтверждении права на дальнейшее получение ежемесячной денежной выплаты представляется в течение </w:t>
                  </w:r>
                  <w:proofErr w:type="spellStart"/>
                  <w:r w:rsidRPr="008F6779">
                    <w:rPr>
                      <w:rFonts w:ascii="Times New Roman" w:eastAsia="Times New Roman" w:hAnsi="Times New Roman" w:cs="Times New Roman"/>
                      <w:b/>
                      <w:bCs/>
                      <w:color w:val="000000"/>
                      <w:lang w:eastAsia="ru-RU"/>
                    </w:rPr>
                    <w:t>трех</w:t>
                  </w:r>
                  <w:proofErr w:type="spellEnd"/>
                  <w:r w:rsidRPr="008F6779">
                    <w:rPr>
                      <w:rFonts w:ascii="Times New Roman" w:eastAsia="Times New Roman" w:hAnsi="Times New Roman" w:cs="Times New Roman"/>
                      <w:b/>
                      <w:bCs/>
                      <w:color w:val="000000"/>
                      <w:lang w:eastAsia="ru-RU"/>
                    </w:rPr>
                    <w:t xml:space="preserve"> месяцев до истечения срока предоставления ежемесячной денежной выплаты.</w:t>
                  </w:r>
                </w:p>
                <w:p w:rsidR="008F6779" w:rsidRPr="008F6779" w:rsidRDefault="008F6779" w:rsidP="008F6779">
                  <w:pPr>
                    <w:spacing w:before="180" w:after="180" w:line="240" w:lineRule="auto"/>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b/>
                      <w:bCs/>
                      <w:color w:val="000000"/>
                      <w:lang w:eastAsia="ru-RU"/>
                    </w:rPr>
                    <w:t>     В случае непредставления заявления о ежегодном подтверждении права на дальнейшее получение ежемесячной денежной выплаты, предоставление ежемесячной денежной выплаты прекращается. В таком случае ветеран труда Иркутской области, переехавший на постоянное место жительства за пределы Иркутской области, вправе вновь подать заявление о назначении ежемесячной денежной выплаты.</w:t>
                  </w:r>
                </w:p>
                <w:p w:rsidR="008F6779" w:rsidRPr="008F6779" w:rsidRDefault="008F6779" w:rsidP="008F6779">
                  <w:pPr>
                    <w:spacing w:before="180" w:after="180" w:line="240" w:lineRule="auto"/>
                    <w:ind w:firstLine="318"/>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b/>
                      <w:bCs/>
                      <w:color w:val="000000"/>
                      <w:shd w:val="clear" w:color="auto" w:fill="EEECE1"/>
                      <w:lang w:eastAsia="ru-RU"/>
                    </w:rPr>
                    <w:t>Предоставление ежемесячной денежной выплаты на основании заявления о назначении ежемесячной денежной выплаты осуществляется с первого числа месяца, следующего за месяцем подачи заявления.</w:t>
                  </w:r>
                </w:p>
              </w:tc>
            </w:tr>
            <w:tr w:rsidR="008F6779" w:rsidRPr="008F6779" w:rsidTr="008F6779">
              <w:trPr>
                <w:trHeight w:val="1627"/>
                <w:tblCellSpacing w:w="15" w:type="dxa"/>
              </w:trPr>
              <w:tc>
                <w:tcPr>
                  <w:tcW w:w="2760"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lang w:eastAsia="ru-RU"/>
                    </w:rPr>
                    <w:lastRenderedPageBreak/>
                    <w:t>7. Периодичность предоставления</w:t>
                  </w:r>
                  <w:r w:rsidRPr="008F6779">
                    <w:rPr>
                      <w:rFonts w:ascii="Times New Roman" w:eastAsia="Times New Roman" w:hAnsi="Times New Roman" w:cs="Times New Roman"/>
                      <w:sz w:val="24"/>
                      <w:szCs w:val="24"/>
                      <w:lang w:eastAsia="ru-RU"/>
                    </w:rPr>
                    <w:t> </w:t>
                  </w:r>
                  <w:r w:rsidRPr="008F6779">
                    <w:rPr>
                      <w:rFonts w:ascii="Times New Roman" w:eastAsia="Times New Roman" w:hAnsi="Times New Roman" w:cs="Times New Roman"/>
                      <w:color w:val="000000"/>
                      <w:lang w:eastAsia="ru-RU"/>
                    </w:rPr>
                    <w:t>денежных средств</w:t>
                  </w:r>
                </w:p>
              </w:tc>
              <w:tc>
                <w:tcPr>
                  <w:tcW w:w="6256" w:type="dxa"/>
                  <w:tcBorders>
                    <w:top w:val="single" w:sz="24" w:space="0" w:color="632423"/>
                    <w:left w:val="single" w:sz="24" w:space="0" w:color="632423"/>
                    <w:bottom w:val="single" w:sz="24" w:space="0" w:color="632423"/>
                    <w:right w:val="single" w:sz="24" w:space="0" w:color="632423"/>
                  </w:tcBorders>
                  <w:shd w:val="clear" w:color="auto" w:fill="EEECE1"/>
                  <w:tcMar>
                    <w:top w:w="0" w:type="dxa"/>
                    <w:left w:w="105" w:type="dxa"/>
                    <w:bottom w:w="0" w:type="dxa"/>
                    <w:right w:w="105" w:type="dxa"/>
                  </w:tcMar>
                  <w:vAlign w:val="center"/>
                  <w:hideMark/>
                </w:tcPr>
                <w:p w:rsidR="008F6779" w:rsidRPr="008F6779" w:rsidRDefault="008F6779" w:rsidP="008F6779">
                  <w:pPr>
                    <w:spacing w:before="180" w:after="180" w:line="240" w:lineRule="auto"/>
                    <w:ind w:firstLine="459"/>
                    <w:jc w:val="both"/>
                    <w:rPr>
                      <w:rFonts w:ascii="Times New Roman" w:eastAsia="Times New Roman" w:hAnsi="Times New Roman" w:cs="Times New Roman"/>
                      <w:sz w:val="24"/>
                      <w:szCs w:val="24"/>
                      <w:lang w:eastAsia="ru-RU"/>
                    </w:rPr>
                  </w:pPr>
                  <w:r w:rsidRPr="008F6779">
                    <w:rPr>
                      <w:rFonts w:ascii="Times New Roman" w:eastAsia="Times New Roman" w:hAnsi="Times New Roman" w:cs="Times New Roman"/>
                      <w:color w:val="000000"/>
                      <w:lang w:eastAsia="ru-RU"/>
                    </w:rPr>
                    <w:t xml:space="preserve">Ежемесячно </w:t>
                  </w:r>
                  <w:proofErr w:type="spellStart"/>
                  <w:r w:rsidRPr="008F6779">
                    <w:rPr>
                      <w:rFonts w:ascii="Times New Roman" w:eastAsia="Times New Roman" w:hAnsi="Times New Roman" w:cs="Times New Roman"/>
                      <w:color w:val="000000"/>
                      <w:lang w:eastAsia="ru-RU"/>
                    </w:rPr>
                    <w:t>путем</w:t>
                  </w:r>
                  <w:proofErr w:type="spellEnd"/>
                  <w:r w:rsidRPr="008F6779">
                    <w:rPr>
                      <w:rFonts w:ascii="Times New Roman" w:eastAsia="Times New Roman" w:hAnsi="Times New Roman" w:cs="Times New Roman"/>
                      <w:color w:val="000000"/>
                      <w:lang w:eastAsia="ru-RU"/>
                    </w:rPr>
                    <w:t xml:space="preserve"> зачисления денежных средств на </w:t>
                  </w:r>
                  <w:proofErr w:type="spellStart"/>
                  <w:r w:rsidRPr="008F6779">
                    <w:rPr>
                      <w:rFonts w:ascii="Times New Roman" w:eastAsia="Times New Roman" w:hAnsi="Times New Roman" w:cs="Times New Roman"/>
                      <w:color w:val="000000"/>
                      <w:lang w:eastAsia="ru-RU"/>
                    </w:rPr>
                    <w:t>счет</w:t>
                  </w:r>
                  <w:proofErr w:type="spellEnd"/>
                  <w:r w:rsidRPr="008F6779">
                    <w:rPr>
                      <w:rFonts w:ascii="Times New Roman" w:eastAsia="Times New Roman" w:hAnsi="Times New Roman" w:cs="Times New Roman"/>
                      <w:color w:val="000000"/>
                      <w:lang w:eastAsia="ru-RU"/>
                    </w:rPr>
                    <w:t xml:space="preserve"> заявителя, открытый в кредитной организации, либо </w:t>
                  </w:r>
                  <w:proofErr w:type="spellStart"/>
                  <w:r w:rsidRPr="008F6779">
                    <w:rPr>
                      <w:rFonts w:ascii="Times New Roman" w:eastAsia="Times New Roman" w:hAnsi="Times New Roman" w:cs="Times New Roman"/>
                      <w:color w:val="000000"/>
                      <w:lang w:eastAsia="ru-RU"/>
                    </w:rPr>
                    <w:t>путем</w:t>
                  </w:r>
                  <w:proofErr w:type="spellEnd"/>
                  <w:r w:rsidRPr="008F6779">
                    <w:rPr>
                      <w:rFonts w:ascii="Times New Roman" w:eastAsia="Times New Roman" w:hAnsi="Times New Roman" w:cs="Times New Roman"/>
                      <w:color w:val="000000"/>
                      <w:lang w:eastAsia="ru-RU"/>
                    </w:rPr>
                    <w:t xml:space="preserve"> доставки организациями почтовой связи или иными организациями, осуществляющими доставку, по выбору заявителя.</w:t>
                  </w:r>
                </w:p>
              </w:tc>
            </w:tr>
          </w:tbl>
          <w:p w:rsidR="008F6779" w:rsidRPr="008F6779" w:rsidRDefault="008F6779" w:rsidP="008F6779">
            <w:pPr>
              <w:spacing w:after="0" w:line="240" w:lineRule="auto"/>
              <w:rPr>
                <w:rFonts w:ascii="Arial" w:eastAsia="Times New Roman" w:hAnsi="Arial" w:cs="Arial"/>
                <w:color w:val="4B4B4B"/>
                <w:sz w:val="21"/>
                <w:szCs w:val="21"/>
                <w:lang w:eastAsia="ru-RU"/>
              </w:rPr>
            </w:pPr>
          </w:p>
        </w:tc>
      </w:tr>
    </w:tbl>
    <w:p w:rsidR="004B0F89" w:rsidRDefault="004B0F89"/>
    <w:sectPr w:rsidR="004B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79"/>
    <w:rsid w:val="004B0F89"/>
    <w:rsid w:val="008F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EE260-A9E4-4FCF-BB5A-91CDFC59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1182">
      <w:bodyDiv w:val="1"/>
      <w:marLeft w:val="0"/>
      <w:marRight w:val="0"/>
      <w:marTop w:val="0"/>
      <w:marBottom w:val="0"/>
      <w:divBdr>
        <w:top w:val="none" w:sz="0" w:space="0" w:color="auto"/>
        <w:left w:val="none" w:sz="0" w:space="0" w:color="auto"/>
        <w:bottom w:val="none" w:sz="0" w:space="0" w:color="auto"/>
        <w:right w:val="none" w:sz="0" w:space="0" w:color="auto"/>
      </w:divBdr>
      <w:divsChild>
        <w:div w:id="198712771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1037</Words>
  <Characters>5915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Александровна Юрова</dc:creator>
  <cp:keywords/>
  <dc:description/>
  <cp:lastModifiedBy>Любовь Александровна Юрова</cp:lastModifiedBy>
  <cp:revision>1</cp:revision>
  <dcterms:created xsi:type="dcterms:W3CDTF">2023-08-01T08:40:00Z</dcterms:created>
  <dcterms:modified xsi:type="dcterms:W3CDTF">2023-08-01T08:41:00Z</dcterms:modified>
</cp:coreProperties>
</file>