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0F" w:rsidRPr="00F8610F" w:rsidRDefault="00F8610F" w:rsidP="00F8610F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F8610F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4.9. Предоставление ежемесячной денежной выплаты пенсионерам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F8610F" w:rsidRPr="00F8610F" w:rsidTr="00F861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10F" w:rsidRPr="00F8610F" w:rsidRDefault="00F8610F" w:rsidP="00F8610F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bookmarkStart w:id="0" w:name="_GoBack"/>
            <w:r w:rsidRPr="00F8610F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Предоставление ежемесячной денежной выплаты пенсионерам, получающим трудовую пенсию по старости (инвалидности), пенсию за выслугу лет, </w:t>
            </w:r>
            <w:r w:rsidRPr="00F8610F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 xml:space="preserve">удостоенным знака отличия «За заслуги перед Иркутской областью», </w:t>
            </w:r>
            <w:proofErr w:type="spellStart"/>
            <w:r w:rsidRPr="00F8610F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>почетного</w:t>
            </w:r>
            <w:proofErr w:type="spellEnd"/>
            <w:r w:rsidRPr="00F8610F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 xml:space="preserve"> звания «</w:t>
            </w:r>
            <w:proofErr w:type="spellStart"/>
            <w:r w:rsidRPr="00F8610F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>Почетный</w:t>
            </w:r>
            <w:proofErr w:type="spellEnd"/>
            <w:r w:rsidRPr="00F8610F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 xml:space="preserve"> гражданин Иркутской области»</w:t>
            </w:r>
          </w:p>
          <w:p w:rsidR="00F8610F" w:rsidRPr="00F8610F" w:rsidRDefault="00F8610F" w:rsidP="00F8610F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F8610F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    В соответствии с Законом Иркутской области от 24 декабря 2010 года № 141-оз «О наградах Иркутской области и </w:t>
            </w:r>
            <w:proofErr w:type="spellStart"/>
            <w:r w:rsidRPr="00F8610F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почетных</w:t>
            </w:r>
            <w:proofErr w:type="spellEnd"/>
            <w:r w:rsidRPr="00F8610F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 званиях Иркутской области»</w:t>
            </w:r>
          </w:p>
          <w:tbl>
            <w:tblPr>
              <w:tblpPr w:rightFromText="45" w:vertAnchor="text" w:tblpXSpec="right" w:tblpYSpec="center"/>
              <w:tblW w:w="8957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shd w:val="clear" w:color="auto" w:fill="FDE9D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6985"/>
            </w:tblGrid>
            <w:tr w:rsidR="00F8610F" w:rsidRPr="00F8610F" w:rsidTr="00F8610F">
              <w:trPr>
                <w:trHeight w:val="5057"/>
              </w:trPr>
              <w:tc>
                <w:tcPr>
                  <w:tcW w:w="197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8610F" w:rsidRPr="00F8610F" w:rsidRDefault="00F8610F" w:rsidP="00F8610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6985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Пенсионеры, получающие страховую пенсию по старости (инвалидности), пенсию за выслугу лет в соответствии с </w:t>
                  </w:r>
                  <w:hyperlink r:id="rId4" w:history="1">
                    <w:r w:rsidRPr="00F8610F">
                      <w:rPr>
                        <w:rFonts w:ascii="Times New Roman" w:eastAsia="Times New Roman" w:hAnsi="Times New Roman" w:cs="Times New Roman"/>
                        <w:color w:val="602E04"/>
                        <w:sz w:val="26"/>
                        <w:szCs w:val="26"/>
                        <w:u w:val="single"/>
                        <w:lang w:eastAsia="ru-RU"/>
                      </w:rPr>
                      <w:t>Законом</w:t>
                    </w:r>
                  </w:hyperlink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 Российской Федерации от 12 февраля 1993 года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 </w:t>
                  </w:r>
                  <w:r w:rsidRPr="00F8610F">
                    <w:rPr>
                      <w:rFonts w:ascii="Times New Roman" w:eastAsia="Times New Roman" w:hAnsi="Times New Roman" w:cs="Times New Roman"/>
                      <w:b/>
                      <w:bCs/>
                      <w:color w:val="602E04"/>
                      <w:sz w:val="26"/>
                      <w:szCs w:val="26"/>
                      <w:lang w:eastAsia="ru-RU"/>
                    </w:rPr>
                    <w:t>органах принудительного исполнения Российской Федерации</w:t>
                  </w: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 xml:space="preserve"> и их семей» (далее – Закон № 4468-1), удостоенные знака отличия «За заслуги перед Иркутской областью»,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почетного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 xml:space="preserve"> звания «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Почетный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 xml:space="preserve"> гражданин Иркутской области»,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почетного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 xml:space="preserve"> звания «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Почетный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 xml:space="preserve"> гражданин Усть-Ордынского Бурятского автономного округа».</w:t>
                  </w:r>
                </w:p>
                <w:p w:rsidR="00F8610F" w:rsidRPr="00F8610F" w:rsidRDefault="00F8610F" w:rsidP="00F8610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8610F" w:rsidRPr="00F8610F" w:rsidTr="00F8610F">
              <w:trPr>
                <w:trHeight w:val="1093"/>
              </w:trPr>
              <w:tc>
                <w:tcPr>
                  <w:tcW w:w="1972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>2. Мера социальной поддержки</w:t>
                  </w:r>
                </w:p>
              </w:tc>
              <w:tc>
                <w:tcPr>
                  <w:tcW w:w="6985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>Ежемесячная денежная выплата</w:t>
                  </w:r>
                </w:p>
                <w:p w:rsidR="00F8610F" w:rsidRPr="00F8610F" w:rsidRDefault="00F8610F" w:rsidP="00F8610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8610F" w:rsidRPr="00F8610F" w:rsidTr="00F8610F">
              <w:trPr>
                <w:trHeight w:val="3888"/>
              </w:trPr>
              <w:tc>
                <w:tcPr>
                  <w:tcW w:w="1972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>3. Размер выплаты</w:t>
                  </w:r>
                </w:p>
              </w:tc>
              <w:tc>
                <w:tcPr>
                  <w:tcW w:w="6985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1. Пенсионерам, получающим страховую пенсию по старости (инвалидности), пенсию за выслугу лет в соответствии с Законом                         № 4468-1, удостоенным знака отличия «За заслуги перед Иркутской областью», предоставляется в размере </w:t>
                  </w:r>
                  <w:r w:rsidRPr="00F8610F">
                    <w:rPr>
                      <w:rFonts w:ascii="Times New Roman" w:eastAsia="Times New Roman" w:hAnsi="Times New Roman" w:cs="Times New Roman"/>
                      <w:b/>
                      <w:bCs/>
                      <w:color w:val="602E04"/>
                      <w:sz w:val="26"/>
                      <w:szCs w:val="26"/>
                      <w:lang w:eastAsia="ru-RU"/>
                    </w:rPr>
                    <w:t>17 462, 64 руб.</w:t>
                  </w:r>
                </w:p>
                <w:p w:rsidR="00F8610F" w:rsidRPr="00F8610F" w:rsidRDefault="00F8610F" w:rsidP="00F8610F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2. Пенсионерам, получающим страховую пенсию по старости (инвалидности), пенсию за выслугу лет в соответствии с </w:t>
                  </w:r>
                  <w:hyperlink r:id="rId5" w:history="1">
                    <w:r w:rsidRPr="00F8610F">
                      <w:rPr>
                        <w:rFonts w:ascii="Times New Roman" w:eastAsia="Times New Roman" w:hAnsi="Times New Roman" w:cs="Times New Roman"/>
                        <w:color w:val="602E04"/>
                        <w:sz w:val="26"/>
                        <w:szCs w:val="26"/>
                        <w:u w:val="single"/>
                        <w:lang w:eastAsia="ru-RU"/>
                      </w:rPr>
                      <w:t>Законом</w:t>
                    </w:r>
                  </w:hyperlink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 xml:space="preserve"> № 4468-1, удостоенным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почетного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 xml:space="preserve"> звания «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Почетный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 xml:space="preserve"> гражданин Иркутской области»,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почетного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 xml:space="preserve"> звания «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Почетный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 xml:space="preserve"> гражданин Усть-Ордынского Бурятского автономного округа», предоставляется в размере </w:t>
                  </w:r>
                  <w:r w:rsidRPr="00F8610F">
                    <w:rPr>
                      <w:rFonts w:ascii="Times New Roman" w:eastAsia="Times New Roman" w:hAnsi="Times New Roman" w:cs="Times New Roman"/>
                      <w:b/>
                      <w:bCs/>
                      <w:color w:val="602E04"/>
                      <w:sz w:val="26"/>
                      <w:szCs w:val="26"/>
                      <w:lang w:eastAsia="ru-RU"/>
                    </w:rPr>
                    <w:t>23 283,52 руб</w:t>
                  </w: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</w:tr>
            <w:tr w:rsidR="00F8610F" w:rsidRPr="00F8610F" w:rsidTr="00F8610F">
              <w:trPr>
                <w:trHeight w:val="1245"/>
              </w:trPr>
              <w:tc>
                <w:tcPr>
                  <w:tcW w:w="1972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lastRenderedPageBreak/>
                    <w:t>4. Куда обращаться</w:t>
                  </w:r>
                </w:p>
              </w:tc>
              <w:tc>
                <w:tcPr>
                  <w:tcW w:w="6985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 xml:space="preserve">В областное государственное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>казенное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 xml:space="preserve"> учреждение «Управление социальной защиты населения» по месту жительства. Заявитель, место жительства которого расположено за пределами Иркутской области, либо его представитель обращается в областное государственное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>казенное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 xml:space="preserve"> учреждение «Управление социальной защиты населения по городу Иркутску».</w:t>
                  </w:r>
                </w:p>
              </w:tc>
            </w:tr>
            <w:tr w:rsidR="00F8610F" w:rsidRPr="00F8610F" w:rsidTr="00F8610F">
              <w:trPr>
                <w:trHeight w:val="514"/>
              </w:trPr>
              <w:tc>
                <w:tcPr>
                  <w:tcW w:w="1972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>5. Документы, предоставляемые заявителем</w:t>
                  </w:r>
                </w:p>
              </w:tc>
              <w:tc>
                <w:tcPr>
                  <w:tcW w:w="6985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ind w:right="30"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К заявлению прилагаются следующие документы:</w:t>
                  </w:r>
                </w:p>
                <w:p w:rsidR="00F8610F" w:rsidRPr="00F8610F" w:rsidRDefault="00F8610F" w:rsidP="00F8610F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1) паспорт или иной документ, удостоверяющий личность гражданина;</w:t>
                  </w:r>
                </w:p>
                <w:p w:rsidR="00F8610F" w:rsidRPr="00F8610F" w:rsidRDefault="00F8610F" w:rsidP="00F8610F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2) документы, удостоверяющие личность и подтверждающие полномочия представителя гражданина (в случае обращения с заявлением представителя гражданина);</w:t>
                  </w:r>
                </w:p>
                <w:p w:rsidR="00F8610F" w:rsidRPr="00F8610F" w:rsidRDefault="00F8610F" w:rsidP="00F8610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 xml:space="preserve">3) документ, подтверждающий присвоение гражданину знака отличия «За заслуги перед Иркутской областью»,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почетного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 xml:space="preserve"> звания «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Почетный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 xml:space="preserve"> гражданин Иркутской области»,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почетного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 xml:space="preserve"> звания «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Почетный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 xml:space="preserve"> гражданин Усть-Ордынского Бурятского автономного округа».</w:t>
                  </w:r>
                </w:p>
              </w:tc>
            </w:tr>
            <w:tr w:rsidR="00F8610F" w:rsidRPr="00F8610F" w:rsidTr="00F8610F">
              <w:trPr>
                <w:trHeight w:val="514"/>
              </w:trPr>
              <w:tc>
                <w:tcPr>
                  <w:tcW w:w="1972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>6. Условия предоставления</w:t>
                  </w:r>
                </w:p>
              </w:tc>
              <w:tc>
                <w:tcPr>
                  <w:tcW w:w="6985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 xml:space="preserve">Ежемесячная денежная выплата предоставляется независимо от факта получения страховой пенсии по старости (инвалидности), пенсии за выслугу лет в соответствии с Законом № 4468-1, гражданам, удостоенным знака отличия «За заслуги перед Иркутской областью»,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почетного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 xml:space="preserve"> звания «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Почетный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 xml:space="preserve"> гражданин Иркутской области»</w:t>
                  </w:r>
                  <w:r w:rsidRPr="00F861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почетного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 xml:space="preserve"> звания «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Почетный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 xml:space="preserve"> гражданин Усть-Ордынского Бурятского автономного округа»:</w:t>
                  </w:r>
                </w:p>
                <w:p w:rsidR="00F8610F" w:rsidRPr="00F8610F" w:rsidRDefault="00F8610F" w:rsidP="00F8610F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1)   достигшие возраста 60 лет – для мужчин, 55 лет – для женщин;</w:t>
                  </w:r>
                </w:p>
                <w:p w:rsidR="00F8610F" w:rsidRPr="00F8610F" w:rsidRDefault="00F8610F" w:rsidP="00F8610F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4"/>
                      <w:szCs w:val="24"/>
                      <w:lang w:eastAsia="ru-RU"/>
                    </w:rPr>
                    <w:t>2)   имеющие право на досрочное назначение страховой пенсии в соответствии с законодательством по состоянию на 31 декабря 2018 года. </w:t>
                  </w:r>
                </w:p>
              </w:tc>
            </w:tr>
            <w:tr w:rsidR="00F8610F" w:rsidRPr="00F8610F" w:rsidTr="00F8610F">
              <w:trPr>
                <w:trHeight w:val="1199"/>
              </w:trPr>
              <w:tc>
                <w:tcPr>
                  <w:tcW w:w="1972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>7. Периодичность выплаты</w:t>
                  </w:r>
                </w:p>
              </w:tc>
              <w:tc>
                <w:tcPr>
                  <w:tcW w:w="6985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F8610F" w:rsidRPr="00F8610F" w:rsidRDefault="00F8610F" w:rsidP="00F8610F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10F">
                    <w:rPr>
                      <w:rFonts w:ascii="Times New Roman" w:eastAsia="Times New Roman" w:hAnsi="Times New Roman" w:cs="Times New Roman"/>
                      <w:color w:val="602E04"/>
                      <w:sz w:val="23"/>
                      <w:szCs w:val="23"/>
                      <w:lang w:eastAsia="ru-RU"/>
                    </w:rPr>
                    <w:t>Ежемесячно</w:t>
                  </w:r>
                  <w:r w:rsidRPr="00F8610F">
                    <w:rPr>
                      <w:rFonts w:ascii="Times New Roman" w:eastAsia="Times New Roman" w:hAnsi="Times New Roman" w:cs="Times New Roman"/>
                      <w:color w:val="632423"/>
                      <w:sz w:val="24"/>
                      <w:szCs w:val="24"/>
                      <w:lang w:eastAsia="ru-RU"/>
                    </w:rPr>
                    <w:t xml:space="preserve"> через кредитную организацию (на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32423"/>
                      <w:sz w:val="24"/>
                      <w:szCs w:val="24"/>
                      <w:lang w:eastAsia="ru-RU"/>
                    </w:rPr>
                    <w:t>счет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32423"/>
                      <w:sz w:val="24"/>
                      <w:szCs w:val="24"/>
                      <w:lang w:eastAsia="ru-RU"/>
                    </w:rPr>
                    <w:t xml:space="preserve"> банковской карты, </w:t>
                  </w:r>
                  <w:proofErr w:type="spellStart"/>
                  <w:r w:rsidRPr="00F8610F">
                    <w:rPr>
                      <w:rFonts w:ascii="Times New Roman" w:eastAsia="Times New Roman" w:hAnsi="Times New Roman" w:cs="Times New Roman"/>
                      <w:color w:val="632423"/>
                      <w:sz w:val="24"/>
                      <w:szCs w:val="24"/>
                      <w:lang w:eastAsia="ru-RU"/>
                    </w:rPr>
                    <w:t>счет</w:t>
                  </w:r>
                  <w:proofErr w:type="spellEnd"/>
                  <w:r w:rsidRPr="00F8610F">
                    <w:rPr>
                      <w:rFonts w:ascii="Times New Roman" w:eastAsia="Times New Roman" w:hAnsi="Times New Roman" w:cs="Times New Roman"/>
                      <w:color w:val="632423"/>
                      <w:sz w:val="24"/>
                      <w:szCs w:val="24"/>
                      <w:lang w:eastAsia="ru-RU"/>
                    </w:rPr>
                    <w:t xml:space="preserve"> по вкладу), организацию почтовой связи, иные доставочные организации.</w:t>
                  </w:r>
                </w:p>
              </w:tc>
            </w:tr>
          </w:tbl>
          <w:p w:rsidR="00F8610F" w:rsidRPr="00F8610F" w:rsidRDefault="00F8610F" w:rsidP="00F8610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  <w:bookmarkEnd w:id="0"/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0F"/>
    <w:rsid w:val="004B0F89"/>
    <w:rsid w:val="00F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64EC-2FAF-4464-894F-D99CC4A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E8C549FC6E53304CA268EE14A1AEF96BD814DDF27D628D72500F5A0Du773G" TargetMode="External"/><Relationship Id="rId4" Type="http://schemas.openxmlformats.org/officeDocument/2006/relationships/hyperlink" Target="consultantplus://offline/ref=A0778A7CC8E7B1F9A820B212D199194F59EDB1A8751A24BD9F23FE4B7AD0u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2023-08-01T08:33:00Z</dcterms:created>
  <dcterms:modified xsi:type="dcterms:W3CDTF">2023-08-01T08:33:00Z</dcterms:modified>
</cp:coreProperties>
</file>